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75BF6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75BF6" w:rsidRDefault="00545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114D8B" wp14:editId="7CF43043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:rsidR="00D75BF6" w:rsidRDefault="0082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75BF6" w:rsidRDefault="003C1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2B4343" wp14:editId="65C01CD5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BF6" w:rsidRDefault="00D75BF6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75BF6" w:rsidRDefault="00F511C4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D75BF6" w:rsidRDefault="00D75BF6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D75BF6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AB792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PROCESEM INWESTYCYJNYM</w:t>
            </w:r>
          </w:p>
        </w:tc>
      </w:tr>
      <w:tr w:rsidR="00D75BF6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D75BF6" w:rsidRDefault="00D7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D75BF6" w:rsidRDefault="00D7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INVESTMENT PROCESS MANAGEMENT</w:t>
            </w:r>
          </w:p>
        </w:tc>
      </w:tr>
    </w:tbl>
    <w:p w:rsidR="00D75BF6" w:rsidRDefault="00D75BF6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D75BF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D75BF6" w:rsidRDefault="00824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D75BF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Organizacjami</w:t>
            </w:r>
          </w:p>
        </w:tc>
      </w:tr>
      <w:tr w:rsidR="00D75BF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D75BF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niestacjonarne</w:t>
            </w:r>
          </w:p>
        </w:tc>
      </w:tr>
      <w:tr w:rsidR="00D75BF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D75BF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D75BF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D75BF6" w:rsidRDefault="00D75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75BF6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D75BF6">
        <w:tc>
          <w:tcPr>
            <w:tcW w:w="1526" w:type="dxa"/>
            <w:vMerge/>
          </w:tcPr>
          <w:p w:rsidR="00D75BF6" w:rsidRDefault="00D75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5BF6" w:rsidRDefault="00D75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75BF6">
        <w:tc>
          <w:tcPr>
            <w:tcW w:w="1526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BF6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D75BF6" w:rsidRDefault="00D75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D75BF6">
        <w:tc>
          <w:tcPr>
            <w:tcW w:w="10061" w:type="dxa"/>
            <w:shd w:val="clear" w:color="auto" w:fill="D9D9D9" w:themeFill="background1" w:themeFillShade="D9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D75BF6">
        <w:tc>
          <w:tcPr>
            <w:tcW w:w="10061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DC10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75BF6" w:rsidRDefault="00D75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D75BF6">
        <w:tc>
          <w:tcPr>
            <w:tcW w:w="10061" w:type="dxa"/>
            <w:shd w:val="clear" w:color="auto" w:fill="D9D9D9" w:themeFill="background1" w:themeFillShade="D9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Cele przedmiotu</w:t>
            </w:r>
          </w:p>
        </w:tc>
      </w:tr>
      <w:tr w:rsidR="00D75BF6">
        <w:tc>
          <w:tcPr>
            <w:tcW w:w="10061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studentów z głównymi aspektami związanymi z zarządzaniem procesem inwestycyjnym. W szczególności celem jest prezentacja głównych etapów zarządzaniem procesem inwestycyjnym. W tym omówienie metod ich analizy i oceny.</w:t>
            </w:r>
          </w:p>
        </w:tc>
      </w:tr>
    </w:tbl>
    <w:p w:rsidR="00D75BF6" w:rsidRDefault="00D75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D75BF6">
        <w:tc>
          <w:tcPr>
            <w:tcW w:w="10061" w:type="dxa"/>
            <w:gridSpan w:val="3"/>
            <w:shd w:val="clear" w:color="auto" w:fill="D9D9D9" w:themeFill="background1" w:themeFillShade="D9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EF2F8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D75BF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F2F8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D75BF6">
        <w:tc>
          <w:tcPr>
            <w:tcW w:w="959" w:type="dxa"/>
            <w:vAlign w:val="center"/>
          </w:tcPr>
          <w:p w:rsidR="00D75BF6" w:rsidRDefault="00F511C4" w:rsidP="00DC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D75BF6" w:rsidRDefault="00F5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zna metody przygotowania i analizy procesów inwestycyjnych</w:t>
            </w:r>
          </w:p>
        </w:tc>
        <w:tc>
          <w:tcPr>
            <w:tcW w:w="2015" w:type="dxa"/>
            <w:vAlign w:val="center"/>
          </w:tcPr>
          <w:p w:rsidR="00D75BF6" w:rsidRPr="00196707" w:rsidRDefault="00836442" w:rsidP="00DC10E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6532A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NK_W04, NK_U01, NK_U03, NK_K01, NK_K04</w:t>
            </w:r>
          </w:p>
        </w:tc>
      </w:tr>
      <w:tr w:rsidR="00D75BF6">
        <w:tc>
          <w:tcPr>
            <w:tcW w:w="959" w:type="dxa"/>
            <w:vAlign w:val="center"/>
          </w:tcPr>
          <w:p w:rsidR="00D75BF6" w:rsidRDefault="00F511C4" w:rsidP="00DC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D75BF6" w:rsidRDefault="00F5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potrafi wyszukiwać istotne informacje i wykorzystywać je w  zarządzaniu procesem inwestycyjnym</w:t>
            </w:r>
          </w:p>
        </w:tc>
        <w:tc>
          <w:tcPr>
            <w:tcW w:w="2015" w:type="dxa"/>
            <w:vAlign w:val="center"/>
          </w:tcPr>
          <w:p w:rsidR="00D75BF6" w:rsidRPr="00196707" w:rsidRDefault="00836442" w:rsidP="00DC10E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6532A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NK_W04, NK_U01, NK_U03, NK_K01, NK_K04</w:t>
            </w:r>
          </w:p>
        </w:tc>
      </w:tr>
      <w:tr w:rsidR="00D75BF6">
        <w:tc>
          <w:tcPr>
            <w:tcW w:w="959" w:type="dxa"/>
            <w:vAlign w:val="center"/>
          </w:tcPr>
          <w:p w:rsidR="00D75BF6" w:rsidRDefault="00F511C4" w:rsidP="00DC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D75BF6" w:rsidRDefault="00F5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 wiedzę na temat metod identyfikacji i zarządzania ryzykiem</w:t>
            </w:r>
          </w:p>
        </w:tc>
        <w:tc>
          <w:tcPr>
            <w:tcW w:w="2015" w:type="dxa"/>
            <w:vAlign w:val="center"/>
          </w:tcPr>
          <w:p w:rsidR="00D75BF6" w:rsidRPr="00196707" w:rsidRDefault="00836442" w:rsidP="00DC10E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6532A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NK_W04, NK_U01, NK_U03, NK_K01, NK_K04</w:t>
            </w:r>
          </w:p>
        </w:tc>
      </w:tr>
      <w:tr w:rsidR="00D75BF6">
        <w:tc>
          <w:tcPr>
            <w:tcW w:w="959" w:type="dxa"/>
            <w:vAlign w:val="center"/>
          </w:tcPr>
          <w:p w:rsidR="00D75BF6" w:rsidRDefault="00F511C4" w:rsidP="00DC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D75BF6" w:rsidRDefault="00F5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 wiedzę na temat oceny procesów inwestycyjnych</w:t>
            </w:r>
          </w:p>
        </w:tc>
        <w:tc>
          <w:tcPr>
            <w:tcW w:w="2015" w:type="dxa"/>
            <w:vAlign w:val="center"/>
          </w:tcPr>
          <w:p w:rsidR="00D75BF6" w:rsidRPr="00196707" w:rsidRDefault="00836442" w:rsidP="00DC10E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6532A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NK_W04, NK_U01, NK_U03, NK_K01, NK_K04</w:t>
            </w:r>
          </w:p>
        </w:tc>
      </w:tr>
    </w:tbl>
    <w:p w:rsidR="00D75BF6" w:rsidRDefault="00D75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D75BF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D75BF6">
        <w:tc>
          <w:tcPr>
            <w:tcW w:w="5778" w:type="dxa"/>
            <w:vMerge/>
          </w:tcPr>
          <w:p w:rsidR="00D75BF6" w:rsidRDefault="00D75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D75BF6" w:rsidRDefault="00D75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F6">
        <w:tc>
          <w:tcPr>
            <w:tcW w:w="5778" w:type="dxa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Podejmowanie racjonalnych decyzji inwestycyjnych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5BF6">
        <w:tc>
          <w:tcPr>
            <w:tcW w:w="5778" w:type="dxa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Źródła informacji o inwestycjach oraz ich analiza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5BF6">
        <w:tc>
          <w:tcPr>
            <w:tcW w:w="5778" w:type="dxa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 przygotowania projektów inwestycyjnych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5BF6">
        <w:tc>
          <w:tcPr>
            <w:tcW w:w="5778" w:type="dxa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Zarządzanie procesem inwestycyjnym w przedsiębiorstwie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 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5BF6">
        <w:tc>
          <w:tcPr>
            <w:tcW w:w="5778" w:type="dxa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Zarządzanie procesem inwestycyjnym na rynkach finansowych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5BF6">
        <w:tc>
          <w:tcPr>
            <w:tcW w:w="5778" w:type="dxa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Zarządzania ryzykiem w procesie inwestycyjnym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5BF6">
        <w:tc>
          <w:tcPr>
            <w:tcW w:w="5778" w:type="dxa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ekonomiczna projektów inwestycyjnych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 EKP_</w:t>
            </w:r>
            <w:r w:rsidR="00986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5BF6">
        <w:tc>
          <w:tcPr>
            <w:tcW w:w="5778" w:type="dxa"/>
            <w:shd w:val="clear" w:color="auto" w:fill="D9D9D9" w:themeFill="background1" w:themeFillShade="D9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75BF6" w:rsidRDefault="00D75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D75BF6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weryfikacji efekt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F2F8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D75BF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D75BF6">
        <w:tc>
          <w:tcPr>
            <w:tcW w:w="0" w:type="auto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0" w:type="auto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BF6">
        <w:tc>
          <w:tcPr>
            <w:tcW w:w="0" w:type="auto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0" w:type="auto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BF6">
        <w:tc>
          <w:tcPr>
            <w:tcW w:w="0" w:type="auto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0" w:type="auto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BF6">
        <w:tc>
          <w:tcPr>
            <w:tcW w:w="0" w:type="auto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0" w:type="auto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5BF6" w:rsidRDefault="00D75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D75BF6">
        <w:tc>
          <w:tcPr>
            <w:tcW w:w="10061" w:type="dxa"/>
            <w:shd w:val="clear" w:color="auto" w:fill="D9D9D9" w:themeFill="background1" w:themeFillShade="D9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D75BF6">
        <w:tc>
          <w:tcPr>
            <w:tcW w:w="10061" w:type="dxa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końcowa jest średnią z kolokwium i egzaminu, z wagami: 50% dla oceny z egzaminu i 50% oceny z kolokwium.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Zaliczenie kolokwium wymaga uzyskania przez studenta co najmniej 50% punktów możliwych do zdobycia. Zaliczenie egzaminu wymaga uzyskania przez studenta co najmniej 50% punktów możliwych do zdobycia. </w:t>
            </w:r>
          </w:p>
        </w:tc>
      </w:tr>
    </w:tbl>
    <w:p w:rsidR="00D75BF6" w:rsidRDefault="00F511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Uwaga: student otrzymuje ocen</w:t>
      </w:r>
      <w:r>
        <w:rPr>
          <w:rFonts w:ascii="Times New Roman" w:hAnsi="Times New Roman" w:cs="Times New Roman" w:hint="eastAsia"/>
          <w:sz w:val="16"/>
          <w:szCs w:val="16"/>
        </w:rPr>
        <w:t>ę</w:t>
      </w:r>
      <w:r>
        <w:rPr>
          <w:rFonts w:ascii="Times New Roman" w:hAnsi="Times New Roman" w:cs="Times New Roman"/>
          <w:sz w:val="16"/>
          <w:szCs w:val="16"/>
        </w:rPr>
        <w:t xml:space="preserve"> powy</w:t>
      </w:r>
      <w:r>
        <w:rPr>
          <w:rFonts w:ascii="Times New Roman" w:hAnsi="Times New Roman" w:cs="Times New Roman" w:hint="eastAsia"/>
          <w:sz w:val="16"/>
          <w:szCs w:val="16"/>
        </w:rPr>
        <w:t>ż</w:t>
      </w:r>
      <w:r>
        <w:rPr>
          <w:rFonts w:ascii="Times New Roman" w:hAnsi="Times New Roman" w:cs="Times New Roman"/>
          <w:sz w:val="16"/>
          <w:szCs w:val="16"/>
        </w:rPr>
        <w:t>ej dostatecznej, je</w:t>
      </w:r>
      <w:r>
        <w:rPr>
          <w:rFonts w:ascii="Times New Roman" w:hAnsi="Times New Roman" w:cs="Times New Roman" w:hint="eastAsia"/>
          <w:sz w:val="16"/>
          <w:szCs w:val="16"/>
        </w:rPr>
        <w:t>ż</w:t>
      </w:r>
      <w:r>
        <w:rPr>
          <w:rFonts w:ascii="Times New Roman" w:hAnsi="Times New Roman" w:cs="Times New Roman"/>
          <w:sz w:val="16"/>
          <w:szCs w:val="16"/>
        </w:rPr>
        <w:t>eli uzyskane efekty kszta</w:t>
      </w:r>
      <w:r>
        <w:rPr>
          <w:rFonts w:ascii="Times New Roman" w:hAnsi="Times New Roman" w:cs="Times New Roman" w:hint="eastAsia"/>
          <w:sz w:val="16"/>
          <w:szCs w:val="16"/>
        </w:rPr>
        <w:t>ł</w:t>
      </w:r>
      <w:r>
        <w:rPr>
          <w:rFonts w:ascii="Times New Roman" w:hAnsi="Times New Roman" w:cs="Times New Roman"/>
          <w:sz w:val="16"/>
          <w:szCs w:val="16"/>
        </w:rPr>
        <w:t>cenia przekraczaj</w:t>
      </w:r>
      <w:r>
        <w:rPr>
          <w:rFonts w:ascii="Times New Roman" w:hAnsi="Times New Roman" w:cs="Times New Roman" w:hint="eastAsia"/>
          <w:sz w:val="16"/>
          <w:szCs w:val="16"/>
        </w:rPr>
        <w:t>ą</w:t>
      </w:r>
      <w:r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D75BF6" w:rsidRDefault="00D75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D75BF6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D75BF6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D75BF6">
        <w:tc>
          <w:tcPr>
            <w:tcW w:w="6062" w:type="dxa"/>
            <w:vMerge/>
            <w:shd w:val="clear" w:color="auto" w:fill="D9D9D9" w:themeFill="background1" w:themeFillShade="D9"/>
          </w:tcPr>
          <w:p w:rsidR="00D75BF6" w:rsidRDefault="00D75B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75BF6">
        <w:tc>
          <w:tcPr>
            <w:tcW w:w="6062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F6">
        <w:tc>
          <w:tcPr>
            <w:tcW w:w="6062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gridSpan w:val="2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F6">
        <w:tc>
          <w:tcPr>
            <w:tcW w:w="6062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ćwiczeniowych, laboratoryjnych, projektowych</w:t>
            </w:r>
          </w:p>
        </w:tc>
        <w:tc>
          <w:tcPr>
            <w:tcW w:w="992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F6">
        <w:tc>
          <w:tcPr>
            <w:tcW w:w="6062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F6">
        <w:tc>
          <w:tcPr>
            <w:tcW w:w="6062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F6">
        <w:tc>
          <w:tcPr>
            <w:tcW w:w="6062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F6">
        <w:tc>
          <w:tcPr>
            <w:tcW w:w="6062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75BF6" w:rsidRDefault="004D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F6">
        <w:tc>
          <w:tcPr>
            <w:tcW w:w="6062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993" w:type="dxa"/>
            <w:gridSpan w:val="2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75BF6" w:rsidRDefault="00D7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BF6">
        <w:tc>
          <w:tcPr>
            <w:tcW w:w="6062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</w:tr>
      <w:tr w:rsidR="00D75BF6">
        <w:tc>
          <w:tcPr>
            <w:tcW w:w="6062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75BF6">
        <w:tc>
          <w:tcPr>
            <w:tcW w:w="6062" w:type="dxa"/>
            <w:shd w:val="clear" w:color="auto" w:fill="D9D9D9" w:themeFill="background1" w:themeFillShade="D9"/>
          </w:tcPr>
          <w:p w:rsidR="00D75BF6" w:rsidRDefault="00D75B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D75BF6">
        <w:tc>
          <w:tcPr>
            <w:tcW w:w="6062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>
              <w:rPr>
                <w:rFonts w:ascii="Cambria" w:hAnsi="Cambria" w:cs="Cambria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00" w:type="dxa"/>
            <w:gridSpan w:val="2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5BF6">
        <w:tc>
          <w:tcPr>
            <w:tcW w:w="6062" w:type="dxa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00" w:type="dxa"/>
            <w:gridSpan w:val="2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75BF6" w:rsidRDefault="00D75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D75BF6">
        <w:tc>
          <w:tcPr>
            <w:tcW w:w="10061" w:type="dxa"/>
            <w:shd w:val="clear" w:color="auto" w:fill="D9D9D9" w:themeFill="background1" w:themeFillShade="D9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D75BF6">
        <w:tc>
          <w:tcPr>
            <w:tcW w:w="10061" w:type="dxa"/>
          </w:tcPr>
          <w:p w:rsidR="00DC10ED" w:rsidRPr="004F1267" w:rsidRDefault="00DC10ED" w:rsidP="00DC1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Brigham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E. F., Houston J.E., </w:t>
            </w:r>
            <w:r w:rsidRPr="004F1267">
              <w:rPr>
                <w:rFonts w:ascii="Times New Roman" w:hAnsi="Times New Roman" w:cs="Times New Roman"/>
                <w:i/>
                <w:sz w:val="20"/>
                <w:szCs w:val="20"/>
              </w:rPr>
              <w:t>Zarządzanie finansami,</w:t>
            </w:r>
            <w:r w:rsidRPr="004F1267">
              <w:rPr>
                <w:rFonts w:ascii="Times New Roman" w:hAnsi="Times New Roman" w:cs="Times New Roman"/>
                <w:sz w:val="20"/>
                <w:szCs w:val="20"/>
              </w:rPr>
              <w:t xml:space="preserve"> PWE, Warszawa, 2015.</w:t>
            </w:r>
          </w:p>
          <w:p w:rsidR="00DC10ED" w:rsidRPr="004F1267" w:rsidRDefault="00DC10ED" w:rsidP="00DC1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Dębski W., </w:t>
            </w:r>
            <w:r w:rsidRPr="004F1267">
              <w:rPr>
                <w:rFonts w:ascii="Times New Roman" w:hAnsi="Times New Roman" w:cs="Times New Roman"/>
                <w:i/>
                <w:sz w:val="20"/>
                <w:szCs w:val="20"/>
              </w:rPr>
              <w:t>Teoretyczne i praktyczne aspekty zarządzania finansami przedsiębiorstwa,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PWN, Warszawa, </w:t>
            </w:r>
            <w:r w:rsidRPr="004F1267">
              <w:rPr>
                <w:rFonts w:ascii="Times New Roman" w:hAnsi="Times New Roman" w:cs="Times New Roman"/>
                <w:sz w:val="20"/>
                <w:szCs w:val="20"/>
              </w:rPr>
              <w:t>2021.</w:t>
            </w:r>
          </w:p>
          <w:p w:rsidR="00D75BF6" w:rsidRDefault="00DC10ED" w:rsidP="00DC1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K. Jajuga, Jajuga T., </w:t>
            </w:r>
            <w:r w:rsidRPr="004F1267">
              <w:rPr>
                <w:rFonts w:ascii="Times New Roman" w:hAnsi="Times New Roman" w:cs="Times New Roman"/>
                <w:i/>
                <w:sz w:val="20"/>
                <w:szCs w:val="20"/>
              </w:rPr>
              <w:t>Inwestycje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4F1267">
              <w:rPr>
                <w:rFonts w:ascii="Times New Roman" w:hAnsi="Times New Roman" w:cs="Times New Roman"/>
                <w:sz w:val="20"/>
                <w:szCs w:val="20"/>
              </w:rPr>
              <w:t>PWN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Warszawa,</w:t>
            </w:r>
            <w:r w:rsidRPr="004F1267">
              <w:rPr>
                <w:rFonts w:ascii="Times New Roman" w:hAnsi="Times New Roman" w:cs="Times New Roman"/>
                <w:sz w:val="20"/>
                <w:szCs w:val="20"/>
              </w:rPr>
              <w:t xml:space="preserve"> 2015.</w:t>
            </w:r>
          </w:p>
        </w:tc>
      </w:tr>
      <w:tr w:rsidR="00D75BF6">
        <w:tc>
          <w:tcPr>
            <w:tcW w:w="10061" w:type="dxa"/>
            <w:shd w:val="clear" w:color="auto" w:fill="D9D9D9" w:themeFill="background1" w:themeFillShade="D9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D75BF6">
        <w:tc>
          <w:tcPr>
            <w:tcW w:w="10061" w:type="dxa"/>
          </w:tcPr>
          <w:p w:rsidR="00DC10ED" w:rsidRPr="004F1267" w:rsidRDefault="00DC10ED" w:rsidP="00DC1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Dębski W.,</w:t>
            </w:r>
            <w:r w:rsidRPr="004F1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267">
              <w:rPr>
                <w:rFonts w:ascii="Times New Roman" w:hAnsi="Times New Roman" w:cs="Times New Roman"/>
                <w:i/>
                <w:sz w:val="20"/>
                <w:szCs w:val="20"/>
              </w:rPr>
              <w:t>Rynek finansowy i jego mechanizmy,</w:t>
            </w:r>
            <w:r w:rsidRPr="004F1267">
              <w:rPr>
                <w:rFonts w:ascii="Times New Roman" w:hAnsi="Times New Roman" w:cs="Times New Roman"/>
                <w:sz w:val="20"/>
                <w:szCs w:val="20"/>
              </w:rPr>
              <w:t xml:space="preserve"> PWN,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1267">
              <w:rPr>
                <w:rFonts w:ascii="Times New Roman" w:hAnsi="Times New Roman" w:cs="Times New Roman"/>
                <w:sz w:val="20"/>
                <w:szCs w:val="20"/>
              </w:rPr>
              <w:t xml:space="preserve"> 2021.</w:t>
            </w:r>
          </w:p>
          <w:p w:rsidR="00DC10ED" w:rsidRPr="004F1267" w:rsidRDefault="00DC10ED" w:rsidP="00DC1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Kurowski L.,</w:t>
            </w:r>
            <w:r w:rsidRPr="004F1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267">
              <w:rPr>
                <w:rFonts w:ascii="Times New Roman" w:hAnsi="Times New Roman" w:cs="Times New Roman"/>
                <w:i/>
                <w:sz w:val="20"/>
                <w:szCs w:val="20"/>
              </w:rPr>
              <w:t>Ocena projektów gospodarczych</w:t>
            </w:r>
            <w:r w:rsidRPr="004F1267">
              <w:rPr>
                <w:rFonts w:ascii="Times New Roman" w:hAnsi="Times New Roman" w:cs="Times New Roman"/>
                <w:sz w:val="20"/>
                <w:szCs w:val="20"/>
              </w:rPr>
              <w:t>, Wyd. AE im. Oskar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Langego we Wrocławiu, Wrocław, </w:t>
            </w:r>
            <w:r w:rsidRPr="004F1267">
              <w:rPr>
                <w:rFonts w:ascii="Times New Roman" w:hAnsi="Times New Roman" w:cs="Times New Roman"/>
                <w:sz w:val="20"/>
                <w:szCs w:val="20"/>
              </w:rPr>
              <w:t>2004.</w:t>
            </w:r>
          </w:p>
          <w:p w:rsidR="00D75BF6" w:rsidRDefault="00DC10ED" w:rsidP="00DC1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Michalak A.,</w:t>
            </w:r>
            <w:r w:rsidRPr="004F1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267">
              <w:rPr>
                <w:rFonts w:ascii="Times New Roman" w:hAnsi="Times New Roman" w:cs="Times New Roman"/>
                <w:i/>
                <w:sz w:val="20"/>
                <w:szCs w:val="20"/>
              </w:rPr>
              <w:t>Finansowanie inwestycji w teorii i praktyce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PWN, Warszawa, </w:t>
            </w:r>
            <w:r w:rsidRPr="004F1267"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</w:tc>
      </w:tr>
    </w:tbl>
    <w:p w:rsidR="00D75BF6" w:rsidRDefault="00D75B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D75BF6">
        <w:tc>
          <w:tcPr>
            <w:tcW w:w="10061" w:type="dxa"/>
            <w:gridSpan w:val="2"/>
            <w:shd w:val="clear" w:color="auto" w:fill="D9D9D9" w:themeFill="background1" w:themeFillShade="D9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D75BF6">
        <w:tc>
          <w:tcPr>
            <w:tcW w:w="6062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Grzegorz Bulczak</w:t>
            </w:r>
          </w:p>
        </w:tc>
        <w:tc>
          <w:tcPr>
            <w:tcW w:w="3999" w:type="dxa"/>
            <w:vAlign w:val="center"/>
          </w:tcPr>
          <w:p w:rsidR="00D75BF6" w:rsidRDefault="00F5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D75BF6">
        <w:tc>
          <w:tcPr>
            <w:tcW w:w="10061" w:type="dxa"/>
            <w:gridSpan w:val="2"/>
            <w:shd w:val="clear" w:color="auto" w:fill="D9D9D9" w:themeFill="background1" w:themeFillShade="D9"/>
          </w:tcPr>
          <w:p w:rsidR="00D75BF6" w:rsidRDefault="00F511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D75BF6">
        <w:tc>
          <w:tcPr>
            <w:tcW w:w="6062" w:type="dxa"/>
            <w:vAlign w:val="center"/>
          </w:tcPr>
          <w:p w:rsidR="00D75BF6" w:rsidRDefault="0098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Hajduk</w:t>
            </w:r>
          </w:p>
        </w:tc>
        <w:tc>
          <w:tcPr>
            <w:tcW w:w="3999" w:type="dxa"/>
            <w:vAlign w:val="center"/>
          </w:tcPr>
          <w:p w:rsidR="00D75BF6" w:rsidRPr="0098686C" w:rsidRDefault="0098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86C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D75BF6">
        <w:tc>
          <w:tcPr>
            <w:tcW w:w="6062" w:type="dxa"/>
            <w:vAlign w:val="center"/>
          </w:tcPr>
          <w:p w:rsidR="00D75BF6" w:rsidRDefault="0098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Nadia Maczuga</w:t>
            </w:r>
          </w:p>
        </w:tc>
        <w:tc>
          <w:tcPr>
            <w:tcW w:w="3999" w:type="dxa"/>
            <w:vAlign w:val="center"/>
          </w:tcPr>
          <w:p w:rsidR="00D75BF6" w:rsidRPr="0098686C" w:rsidRDefault="0098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86C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D75BF6" w:rsidRDefault="00D75BF6" w:rsidP="004D2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75BF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61A76"/>
    <w:rsid w:val="00061CF0"/>
    <w:rsid w:val="00082D00"/>
    <w:rsid w:val="000930A7"/>
    <w:rsid w:val="000A4CC2"/>
    <w:rsid w:val="001251EC"/>
    <w:rsid w:val="001671B0"/>
    <w:rsid w:val="00177487"/>
    <w:rsid w:val="00196707"/>
    <w:rsid w:val="001E5FE3"/>
    <w:rsid w:val="002134E8"/>
    <w:rsid w:val="00232D27"/>
    <w:rsid w:val="0024428B"/>
    <w:rsid w:val="00250A61"/>
    <w:rsid w:val="00264119"/>
    <w:rsid w:val="00267183"/>
    <w:rsid w:val="00296265"/>
    <w:rsid w:val="002B656C"/>
    <w:rsid w:val="002D26E6"/>
    <w:rsid w:val="002F33B0"/>
    <w:rsid w:val="002F4E24"/>
    <w:rsid w:val="00311C4F"/>
    <w:rsid w:val="00315479"/>
    <w:rsid w:val="00317403"/>
    <w:rsid w:val="0034103C"/>
    <w:rsid w:val="003616FC"/>
    <w:rsid w:val="00367CCE"/>
    <w:rsid w:val="00376C59"/>
    <w:rsid w:val="003C1909"/>
    <w:rsid w:val="003E100E"/>
    <w:rsid w:val="00404FAF"/>
    <w:rsid w:val="00412278"/>
    <w:rsid w:val="0043006A"/>
    <w:rsid w:val="004529B4"/>
    <w:rsid w:val="0046763D"/>
    <w:rsid w:val="004717E2"/>
    <w:rsid w:val="00475AF0"/>
    <w:rsid w:val="00476965"/>
    <w:rsid w:val="00477A2B"/>
    <w:rsid w:val="00482229"/>
    <w:rsid w:val="004B1FB2"/>
    <w:rsid w:val="004D2F51"/>
    <w:rsid w:val="004F47B4"/>
    <w:rsid w:val="00512BB7"/>
    <w:rsid w:val="0054539C"/>
    <w:rsid w:val="00550A4F"/>
    <w:rsid w:val="0056022E"/>
    <w:rsid w:val="005F2960"/>
    <w:rsid w:val="005F3ACC"/>
    <w:rsid w:val="00602719"/>
    <w:rsid w:val="00636A13"/>
    <w:rsid w:val="00641FEB"/>
    <w:rsid w:val="00643104"/>
    <w:rsid w:val="00651F07"/>
    <w:rsid w:val="00670D90"/>
    <w:rsid w:val="006C49E5"/>
    <w:rsid w:val="006E40E0"/>
    <w:rsid w:val="006F6C43"/>
    <w:rsid w:val="00761070"/>
    <w:rsid w:val="00785DDD"/>
    <w:rsid w:val="0079419B"/>
    <w:rsid w:val="007948B6"/>
    <w:rsid w:val="007A5B94"/>
    <w:rsid w:val="007A74A3"/>
    <w:rsid w:val="007B1F99"/>
    <w:rsid w:val="007E0707"/>
    <w:rsid w:val="008247ED"/>
    <w:rsid w:val="00836442"/>
    <w:rsid w:val="00845E4C"/>
    <w:rsid w:val="0087243F"/>
    <w:rsid w:val="00893840"/>
    <w:rsid w:val="008D1A9D"/>
    <w:rsid w:val="008D62DB"/>
    <w:rsid w:val="00927CF8"/>
    <w:rsid w:val="00934797"/>
    <w:rsid w:val="00986126"/>
    <w:rsid w:val="0098686C"/>
    <w:rsid w:val="00993B68"/>
    <w:rsid w:val="009D35CC"/>
    <w:rsid w:val="009F7358"/>
    <w:rsid w:val="00A163DF"/>
    <w:rsid w:val="00A16410"/>
    <w:rsid w:val="00A562FF"/>
    <w:rsid w:val="00A563EE"/>
    <w:rsid w:val="00A727FE"/>
    <w:rsid w:val="00AB075F"/>
    <w:rsid w:val="00AB7925"/>
    <w:rsid w:val="00AC54E4"/>
    <w:rsid w:val="00AF2504"/>
    <w:rsid w:val="00B204A5"/>
    <w:rsid w:val="00B25D46"/>
    <w:rsid w:val="00B35366"/>
    <w:rsid w:val="00B55209"/>
    <w:rsid w:val="00B73E75"/>
    <w:rsid w:val="00B913D6"/>
    <w:rsid w:val="00B96F87"/>
    <w:rsid w:val="00C90AD2"/>
    <w:rsid w:val="00C97E91"/>
    <w:rsid w:val="00CC4A9E"/>
    <w:rsid w:val="00CF0B22"/>
    <w:rsid w:val="00D176CF"/>
    <w:rsid w:val="00D21955"/>
    <w:rsid w:val="00D407CF"/>
    <w:rsid w:val="00D429F3"/>
    <w:rsid w:val="00D679D9"/>
    <w:rsid w:val="00D75BF6"/>
    <w:rsid w:val="00D97B35"/>
    <w:rsid w:val="00DC10ED"/>
    <w:rsid w:val="00DC23D9"/>
    <w:rsid w:val="00E135CF"/>
    <w:rsid w:val="00E267EC"/>
    <w:rsid w:val="00E41568"/>
    <w:rsid w:val="00E61BE4"/>
    <w:rsid w:val="00E703F1"/>
    <w:rsid w:val="00E71601"/>
    <w:rsid w:val="00EA2721"/>
    <w:rsid w:val="00EB0583"/>
    <w:rsid w:val="00ED1914"/>
    <w:rsid w:val="00EF2F83"/>
    <w:rsid w:val="00EF7662"/>
    <w:rsid w:val="00F0402C"/>
    <w:rsid w:val="00F33A3B"/>
    <w:rsid w:val="00F36771"/>
    <w:rsid w:val="00F379F2"/>
    <w:rsid w:val="00F511C4"/>
    <w:rsid w:val="00F64800"/>
    <w:rsid w:val="00F77452"/>
    <w:rsid w:val="00FA05FD"/>
    <w:rsid w:val="00FA07ED"/>
    <w:rsid w:val="00FA7A00"/>
    <w:rsid w:val="00FB1DCC"/>
    <w:rsid w:val="00FB35E5"/>
    <w:rsid w:val="12C2470B"/>
    <w:rsid w:val="19C56C7A"/>
    <w:rsid w:val="4B71727B"/>
    <w:rsid w:val="67D63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Standard">
    <w:name w:val="Standard"/>
    <w:rsid w:val="008364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Standard">
    <w:name w:val="Standard"/>
    <w:rsid w:val="008364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Administrator</cp:lastModifiedBy>
  <cp:revision>3</cp:revision>
  <cp:lastPrinted>2020-03-05T09:37:00Z</cp:lastPrinted>
  <dcterms:created xsi:type="dcterms:W3CDTF">2021-06-01T06:33:00Z</dcterms:created>
  <dcterms:modified xsi:type="dcterms:W3CDTF">2021-06-07T09:21:00Z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2057-11.2.0.9085</vt:lpwstr>
  </property>
</Properties>
</file>